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6400" cy="846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2322714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716398" cy="84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4pt;height:66.6pt;mso-wrap-distance-left:0.0pt;mso-wrap-distance-top:0.0pt;mso-wrap-distance-right:0.0pt;mso-wrap-distance-bottom:0.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72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гарантиях дополнительного обеспечения медицинскими изделиями </w:t>
        <w:br/>
        <w:t xml:space="preserve">для проведения мониторинга уровня глюкозы в интерстициальной жидкости детям, страдающим сахарным диабетом 1 типа, за счет средств бюджета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расширения систем контроля при оказании первичной медико-санитарной помощи детям, страдающим сахарным диабетом 1 типа, предусматривающего их обеспечение средствами мониторинга уровня глюкозы в интерстициальной жидкости в дополнение к применяемым 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агностическим средствам по определению уровня глюкозы в крови,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Еврейской автономной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7"/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гарантии дополнительного обеспечения медицинскими изделиями за счет средств бюджета Еврейской автономной области детям, проживающим на территории Еврейской автономной области </w:t>
        <w:br/>
        <w:t xml:space="preserve">и не достигшим возраста 18 лет, страдающим сахарным диабетом 1 типа, </w:t>
        <w:br/>
        <w:t xml:space="preserve">в части бесплатного отпуска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изделий для проведения мониторинга уровня глюкозы в интерстициальной жидкости (сканер (датчик/сенсор) системы чрескожного мониторинга уровня глюкозы </w:t>
        <w:br/>
        <w:t xml:space="preserve">в интерстициальной жидкости).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Установить, что: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детей, проживающих на территории Еврейской автономной области и не достигших возраста 18 лет, страдающих сахарным диабетом 1 типа, в соответствии с настоящим постановлением медицинскими изделиями для проведения мониторинга уровня глюкозы в интерстициальной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идкости (сканер (датчик/сенсор) системы чрескожного мониторинга уровня глюкозы в интерстициальной жидкости) осуществляется сверх утвержденного Правительством Российской Федерации перечня медицинских изделий, отпускаемых по рецептам на медицинские изделия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предоставлении набора социальных услуг.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детей, проживающих на территории Еврейской автономной области и не достигших возраста 18 лет, страдающих сахарным диабетом 1 типа, в соответствии с настоящим постановлением медицинскими изделиями для проведения мониторинга уровня глюкозы в интерстициальной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идкости (сканер (датчик/сенсор) системы чрескожного мониторинга уровня глюкозы в интерстициальной жидкости) осуществляется по назначению лечащего врача – детского эндокринолога медицинского учреждения, подведомственного департаменту здравоохранения правительства Еврейской автономной области, оказывающей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первичную медико-санитарную помощь детскому населению.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дополнительного обеспечения медицинскими изделиями для проведения мониторинга уровня глюкозы в интерстициальной жидкости (сканер (датчик-сенсор) системы чрескожного мониторинга уровня глюкозы в интерстициальной жидкости), отпускаемыми бесплатно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назначению лечащего врача – детского эндокринолога медицинского учреждения, подведомственного департаменту здравоохранения правительства Еврейской автономной области, оказывающей первичную медико-санитарную помощь детскому населению, устанавливается департаментом здравоохранения правительства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дополнительного обеспечения медицинскими изделиями в соответствии с настоящим постановлением осуществляется за счет бюджетных ассигнований, предусмотренных департаменту здравоохранения правительства Еврейской автономной области законом Еврейской автономной области об областном бюджете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соответствующий финансовый год и плановый период на указанные цели.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7"/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  <w:br/>
        <w:t xml:space="preserve">с 1 января 2023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7"/>
        <w:ind w:left="2253" w:hanging="1260"/>
      </w:pPr>
      <w:rPr>
        <w:rFonts w:ascii="Times New Roman" w:hAnsi="Times New Roman" w:eastAsia="Calibri" w:cs="Times New Roman"/>
        <w:color w:val="000000"/>
      </w:rPr>
    </w:lvl>
    <w:lvl w:ilvl="1">
      <w:start w:val="5"/>
      <w:numFmt w:val="decimal"/>
      <w:isLgl w:val="false"/>
      <w:suff w:val="tab"/>
      <w:lvlText w:val="%1.%2."/>
      <w:lvlJc w:val="left"/>
      <w:pPr>
        <w:pStyle w:val="847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7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7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7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7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7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7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7"/>
        <w:ind w:left="2869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47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47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47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47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47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47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47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47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character" w:styleId="848">
    <w:name w:val="Основной шрифт абзаца"/>
    <w:next w:val="848"/>
    <w:link w:val="847"/>
    <w:uiPriority w:val="99"/>
    <w:semiHidden/>
  </w:style>
  <w:style w:type="table" w:styleId="849">
    <w:name w:val="Обычная таблица"/>
    <w:next w:val="849"/>
    <w:link w:val="847"/>
    <w:uiPriority w:val="99"/>
    <w:semiHidden/>
    <w:unhideWhenUsed/>
    <w:tblPr/>
  </w:style>
  <w:style w:type="numbering" w:styleId="850">
    <w:name w:val="Нет списка"/>
    <w:next w:val="850"/>
    <w:link w:val="847"/>
    <w:uiPriority w:val="99"/>
    <w:semiHidden/>
    <w:unhideWhenUsed/>
  </w:style>
  <w:style w:type="paragraph" w:styleId="851">
    <w:name w:val="ConsPlusNormal"/>
    <w:next w:val="851"/>
    <w:link w:val="847"/>
    <w:uiPriority w:val="99"/>
    <w:pPr>
      <w:widowControl w:val="off"/>
    </w:pPr>
    <w:rPr>
      <w:sz w:val="22"/>
      <w:lang w:val="ru-RU" w:eastAsia="ru-RU" w:bidi="ar-SA"/>
    </w:rPr>
  </w:style>
  <w:style w:type="paragraph" w:styleId="852">
    <w:name w:val="ConsPlusTitle"/>
    <w:next w:val="852"/>
    <w:link w:val="847"/>
    <w:uiPriority w:val="99"/>
    <w:pPr>
      <w:widowControl w:val="off"/>
    </w:pPr>
    <w:rPr>
      <w:b/>
      <w:sz w:val="22"/>
      <w:lang w:val="ru-RU" w:eastAsia="ru-RU" w:bidi="ar-SA"/>
    </w:rPr>
  </w:style>
  <w:style w:type="paragraph" w:styleId="853">
    <w:name w:val="ConsPlusNonformat"/>
    <w:next w:val="853"/>
    <w:link w:val="84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4">
    <w:name w:val="Текст выноски"/>
    <w:basedOn w:val="847"/>
    <w:next w:val="854"/>
    <w:link w:val="85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>
    <w:name w:val="Текст выноски Знак"/>
    <w:next w:val="855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>
    <w:name w:val="Верхний колонтитул"/>
    <w:basedOn w:val="847"/>
    <w:next w:val="856"/>
    <w:link w:val="857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uiPriority w:val="99"/>
    <w:rPr>
      <w:rFonts w:cs="Times New Roman"/>
    </w:rPr>
  </w:style>
  <w:style w:type="character" w:styleId="858">
    <w:name w:val="Нижний колонтитул Знак1"/>
    <w:next w:val="858"/>
    <w:link w:val="860"/>
    <w:uiPriority w:val="99"/>
    <w:rPr>
      <w:rFonts w:cs="Times New Roman"/>
    </w:rPr>
  </w:style>
  <w:style w:type="character" w:styleId="859">
    <w:name w:val="Гиперссылка"/>
    <w:next w:val="859"/>
    <w:link w:val="847"/>
    <w:uiPriority w:val="99"/>
    <w:rPr>
      <w:rFonts w:cs="Times New Roman"/>
      <w:color w:val="0000ff"/>
      <w:u w:val="single"/>
    </w:rPr>
  </w:style>
  <w:style w:type="paragraph" w:styleId="860">
    <w:name w:val="Нижний колонтитул"/>
    <w:basedOn w:val="847"/>
    <w:next w:val="860"/>
    <w:link w:val="858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next w:val="861"/>
    <w:link w:val="847"/>
    <w:uiPriority w:val="99"/>
    <w:semiHidden/>
    <w:rPr>
      <w:rFonts w:cs="Times New Roman"/>
      <w:lang w:eastAsia="en-US"/>
    </w:rPr>
  </w:style>
  <w:style w:type="character" w:styleId="862">
    <w:name w:val="Нижний колонтитул Знак13"/>
    <w:next w:val="862"/>
    <w:link w:val="847"/>
    <w:uiPriority w:val="99"/>
    <w:semiHidden/>
    <w:rPr>
      <w:rFonts w:cs="Times New Roman"/>
      <w:lang w:val="en-US" w:eastAsia="en-US"/>
    </w:rPr>
  </w:style>
  <w:style w:type="character" w:styleId="863">
    <w:name w:val="Нижний колонтитул Знак12"/>
    <w:next w:val="863"/>
    <w:link w:val="847"/>
    <w:uiPriority w:val="99"/>
    <w:semiHidden/>
    <w:rPr>
      <w:rFonts w:cs="Times New Roman"/>
      <w:lang w:val="en-US" w:eastAsia="en-US"/>
    </w:rPr>
  </w:style>
  <w:style w:type="character" w:styleId="864">
    <w:name w:val="Нижний колонтитул Знак11"/>
    <w:next w:val="864"/>
    <w:link w:val="847"/>
    <w:uiPriority w:val="99"/>
    <w:semiHidden/>
    <w:rPr>
      <w:rFonts w:cs="Times New Roman"/>
      <w:lang w:val="en-US" w:eastAsia="en-US"/>
    </w:rPr>
  </w:style>
  <w:style w:type="character" w:styleId="865">
    <w:name w:val="Нижний колонтитул Знак10"/>
    <w:next w:val="865"/>
    <w:link w:val="847"/>
    <w:uiPriority w:val="99"/>
    <w:semiHidden/>
    <w:rPr>
      <w:rFonts w:cs="Times New Roman"/>
      <w:lang w:val="en-US" w:eastAsia="en-US"/>
    </w:rPr>
  </w:style>
  <w:style w:type="character" w:styleId="866">
    <w:name w:val="Нижний колонтитул Знак9"/>
    <w:next w:val="866"/>
    <w:link w:val="847"/>
    <w:uiPriority w:val="99"/>
    <w:semiHidden/>
    <w:rPr>
      <w:rFonts w:cs="Times New Roman"/>
      <w:lang w:val="en-US" w:eastAsia="en-US"/>
    </w:rPr>
  </w:style>
  <w:style w:type="character" w:styleId="867">
    <w:name w:val="Нижний колонтитул Знак8"/>
    <w:next w:val="867"/>
    <w:link w:val="847"/>
    <w:uiPriority w:val="99"/>
    <w:semiHidden/>
    <w:rPr>
      <w:rFonts w:cs="Times New Roman"/>
      <w:lang w:val="en-US" w:eastAsia="en-US"/>
    </w:rPr>
  </w:style>
  <w:style w:type="character" w:styleId="868">
    <w:name w:val="Нижний колонтитул Знак7"/>
    <w:next w:val="868"/>
    <w:link w:val="847"/>
    <w:uiPriority w:val="99"/>
    <w:semiHidden/>
    <w:rPr>
      <w:rFonts w:cs="Times New Roman"/>
      <w:lang w:val="en-US" w:eastAsia="en-US"/>
    </w:rPr>
  </w:style>
  <w:style w:type="character" w:styleId="869">
    <w:name w:val="Нижний колонтитул Знак6"/>
    <w:next w:val="869"/>
    <w:link w:val="847"/>
    <w:uiPriority w:val="99"/>
    <w:semiHidden/>
    <w:rPr>
      <w:rFonts w:cs="Times New Roman"/>
      <w:lang w:val="en-US" w:eastAsia="en-US"/>
    </w:rPr>
  </w:style>
  <w:style w:type="character" w:styleId="870">
    <w:name w:val="Нижний колонтитул Знак5"/>
    <w:next w:val="870"/>
    <w:link w:val="847"/>
    <w:uiPriority w:val="99"/>
    <w:semiHidden/>
    <w:rPr>
      <w:rFonts w:cs="Times New Roman"/>
      <w:lang w:val="en-US" w:eastAsia="en-US"/>
    </w:rPr>
  </w:style>
  <w:style w:type="character" w:styleId="871">
    <w:name w:val="Нижний колонтитул Знак4"/>
    <w:next w:val="871"/>
    <w:link w:val="847"/>
    <w:uiPriority w:val="99"/>
    <w:semiHidden/>
    <w:rPr>
      <w:rFonts w:cs="Times New Roman"/>
      <w:lang w:val="en-US" w:eastAsia="en-US"/>
    </w:rPr>
  </w:style>
  <w:style w:type="character" w:styleId="872">
    <w:name w:val="Нижний колонтитул Знак3"/>
    <w:next w:val="872"/>
    <w:link w:val="847"/>
    <w:uiPriority w:val="99"/>
    <w:semiHidden/>
    <w:rPr>
      <w:rFonts w:cs="Times New Roman"/>
      <w:lang w:val="en-US" w:eastAsia="en-US"/>
    </w:rPr>
  </w:style>
  <w:style w:type="character" w:styleId="873">
    <w:name w:val="Нижний колонтитул Знак2"/>
    <w:next w:val="873"/>
    <w:link w:val="847"/>
    <w:uiPriority w:val="99"/>
    <w:rPr>
      <w:rFonts w:cs="Times New Roman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закона Еврейской автономной области от18</dc:title>
  <dc:creator>Мамчикова Ольга Александровна</dc:creator>
  <cp:revision>71</cp:revision>
  <dcterms:created xsi:type="dcterms:W3CDTF">2020-09-24T00:38:00Z</dcterms:created>
  <dcterms:modified xsi:type="dcterms:W3CDTF">2023-06-13T00:30:50Z</dcterms:modified>
  <cp:version>1048576</cp:version>
</cp:coreProperties>
</file>